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9"/>
        <w:tblW w:w="15738" w:type="dxa"/>
        <w:tblLook w:val="04A0" w:firstRow="1" w:lastRow="0" w:firstColumn="1" w:lastColumn="0" w:noHBand="0" w:noVBand="1"/>
      </w:tblPr>
      <w:tblGrid>
        <w:gridCol w:w="1847"/>
        <w:gridCol w:w="2200"/>
        <w:gridCol w:w="773"/>
        <w:gridCol w:w="1559"/>
        <w:gridCol w:w="1843"/>
        <w:gridCol w:w="1417"/>
        <w:gridCol w:w="851"/>
        <w:gridCol w:w="417"/>
        <w:gridCol w:w="437"/>
        <w:gridCol w:w="417"/>
        <w:gridCol w:w="550"/>
        <w:gridCol w:w="417"/>
        <w:gridCol w:w="650"/>
        <w:gridCol w:w="2360"/>
      </w:tblGrid>
      <w:tr w:rsidR="003C6026" w:rsidRPr="005C72F3" w:rsidTr="003C6026">
        <w:trPr>
          <w:trHeight w:val="315"/>
        </w:trPr>
        <w:tc>
          <w:tcPr>
            <w:tcW w:w="1847" w:type="dxa"/>
            <w:vMerge w:val="restart"/>
            <w:tcBorders>
              <w:top w:val="single" w:sz="8" w:space="0" w:color="000000"/>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Title</w:t>
            </w:r>
          </w:p>
        </w:tc>
        <w:tc>
          <w:tcPr>
            <w:tcW w:w="2200" w:type="dxa"/>
            <w:vMerge w:val="restart"/>
            <w:tcBorders>
              <w:top w:val="single" w:sz="8" w:space="0" w:color="000000"/>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Risk description</w:t>
            </w:r>
          </w:p>
        </w:tc>
        <w:tc>
          <w:tcPr>
            <w:tcW w:w="773" w:type="dxa"/>
            <w:vMerge w:val="restart"/>
            <w:tcBorders>
              <w:top w:val="single" w:sz="8" w:space="0" w:color="000000"/>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proofErr w:type="spellStart"/>
            <w:r w:rsidRPr="005C72F3">
              <w:rPr>
                <w:rFonts w:cs="Arial"/>
                <w:b/>
                <w:bCs/>
                <w:color w:val="FFFFFF"/>
                <w:sz w:val="18"/>
                <w:szCs w:val="18"/>
                <w:lang w:eastAsia="en-GB"/>
              </w:rPr>
              <w:t>Opp</w:t>
            </w:r>
            <w:proofErr w:type="spellEnd"/>
            <w:r w:rsidRPr="005C72F3">
              <w:rPr>
                <w:rFonts w:cs="Arial"/>
                <w:b/>
                <w:bCs/>
                <w:color w:val="FFFFFF"/>
                <w:sz w:val="18"/>
                <w:szCs w:val="18"/>
                <w:lang w:eastAsia="en-GB"/>
              </w:rPr>
              <w:t>/ threat</w:t>
            </w:r>
          </w:p>
        </w:tc>
        <w:tc>
          <w:tcPr>
            <w:tcW w:w="1559" w:type="dxa"/>
            <w:vMerge w:val="restart"/>
            <w:tcBorders>
              <w:top w:val="single" w:sz="8" w:space="0" w:color="000000"/>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Cause</w:t>
            </w:r>
          </w:p>
        </w:tc>
        <w:tc>
          <w:tcPr>
            <w:tcW w:w="1843" w:type="dxa"/>
            <w:vMerge w:val="restart"/>
            <w:tcBorders>
              <w:top w:val="single" w:sz="8" w:space="0" w:color="000000"/>
              <w:left w:val="nil"/>
              <w:bottom w:val="single" w:sz="8" w:space="0" w:color="000000"/>
              <w:right w:val="single" w:sz="8" w:space="0" w:color="000000"/>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Consequence</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Date Raised</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Owner</w:t>
            </w:r>
          </w:p>
        </w:tc>
        <w:tc>
          <w:tcPr>
            <w:tcW w:w="854" w:type="dxa"/>
            <w:gridSpan w:val="2"/>
            <w:tcBorders>
              <w:top w:val="single" w:sz="8" w:space="0" w:color="000000"/>
              <w:left w:val="nil"/>
              <w:bottom w:val="single" w:sz="8" w:space="0" w:color="000000"/>
              <w:right w:val="single" w:sz="8" w:space="0" w:color="000000"/>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Gross</w:t>
            </w:r>
          </w:p>
        </w:tc>
        <w:tc>
          <w:tcPr>
            <w:tcW w:w="967" w:type="dxa"/>
            <w:gridSpan w:val="2"/>
            <w:tcBorders>
              <w:top w:val="single" w:sz="8" w:space="0" w:color="000000"/>
              <w:left w:val="nil"/>
              <w:bottom w:val="single" w:sz="8" w:space="0" w:color="000000"/>
              <w:right w:val="single" w:sz="8" w:space="0" w:color="000000"/>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Current</w:t>
            </w:r>
          </w:p>
        </w:tc>
        <w:tc>
          <w:tcPr>
            <w:tcW w:w="1067" w:type="dxa"/>
            <w:gridSpan w:val="2"/>
            <w:tcBorders>
              <w:top w:val="single" w:sz="8" w:space="0" w:color="000000"/>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Residual</w:t>
            </w:r>
          </w:p>
        </w:tc>
        <w:tc>
          <w:tcPr>
            <w:tcW w:w="2360" w:type="dxa"/>
            <w:vMerge w:val="restart"/>
            <w:tcBorders>
              <w:top w:val="single" w:sz="8" w:space="0" w:color="auto"/>
              <w:left w:val="single" w:sz="8" w:space="0" w:color="auto"/>
              <w:bottom w:val="single" w:sz="8" w:space="0" w:color="000000"/>
              <w:right w:val="single" w:sz="8" w:space="0" w:color="auto"/>
            </w:tcBorders>
            <w:shd w:val="clear" w:color="000000" w:fill="000080"/>
            <w:vAlign w:val="center"/>
            <w:hideMark/>
          </w:tcPr>
          <w:p w:rsidR="003C6026" w:rsidRPr="005C72F3" w:rsidRDefault="003C6026" w:rsidP="003C6026">
            <w:pPr>
              <w:rPr>
                <w:rFonts w:cs="Arial"/>
                <w:b/>
                <w:bCs/>
                <w:color w:val="FFFFFF"/>
                <w:sz w:val="18"/>
                <w:szCs w:val="18"/>
                <w:lang w:eastAsia="en-GB"/>
              </w:rPr>
            </w:pPr>
            <w:r w:rsidRPr="005C72F3">
              <w:rPr>
                <w:rFonts w:cs="Arial"/>
                <w:b/>
                <w:bCs/>
                <w:color w:val="FFFFFF"/>
                <w:sz w:val="18"/>
                <w:szCs w:val="18"/>
                <w:lang w:eastAsia="en-GB"/>
              </w:rPr>
              <w:t>Control description</w:t>
            </w:r>
          </w:p>
        </w:tc>
      </w:tr>
      <w:tr w:rsidR="003C6026" w:rsidRPr="005C72F3" w:rsidTr="003C6026">
        <w:trPr>
          <w:trHeight w:val="690"/>
        </w:trPr>
        <w:tc>
          <w:tcPr>
            <w:tcW w:w="1847" w:type="dxa"/>
            <w:vMerge/>
            <w:tcBorders>
              <w:top w:val="single" w:sz="8" w:space="0" w:color="000000"/>
              <w:left w:val="nil"/>
              <w:bottom w:val="single" w:sz="8" w:space="0" w:color="000000"/>
              <w:right w:val="nil"/>
            </w:tcBorders>
            <w:vAlign w:val="center"/>
            <w:hideMark/>
          </w:tcPr>
          <w:p w:rsidR="003C6026" w:rsidRPr="005C72F3" w:rsidRDefault="003C6026" w:rsidP="003C6026">
            <w:pPr>
              <w:rPr>
                <w:rFonts w:cs="Arial"/>
                <w:b/>
                <w:bCs/>
                <w:color w:val="FFFFFF"/>
                <w:sz w:val="18"/>
                <w:szCs w:val="18"/>
                <w:lang w:eastAsia="en-GB"/>
              </w:rPr>
            </w:pPr>
          </w:p>
        </w:tc>
        <w:tc>
          <w:tcPr>
            <w:tcW w:w="2200" w:type="dxa"/>
            <w:vMerge/>
            <w:tcBorders>
              <w:top w:val="single" w:sz="8" w:space="0" w:color="000000"/>
              <w:left w:val="nil"/>
              <w:bottom w:val="single" w:sz="8" w:space="0" w:color="000000"/>
              <w:right w:val="nil"/>
            </w:tcBorders>
            <w:vAlign w:val="center"/>
            <w:hideMark/>
          </w:tcPr>
          <w:p w:rsidR="003C6026" w:rsidRPr="005C72F3" w:rsidRDefault="003C6026" w:rsidP="003C6026">
            <w:pPr>
              <w:rPr>
                <w:rFonts w:cs="Arial"/>
                <w:b/>
                <w:bCs/>
                <w:color w:val="FFFFFF"/>
                <w:sz w:val="18"/>
                <w:szCs w:val="18"/>
                <w:lang w:eastAsia="en-GB"/>
              </w:rPr>
            </w:pPr>
          </w:p>
        </w:tc>
        <w:tc>
          <w:tcPr>
            <w:tcW w:w="773" w:type="dxa"/>
            <w:vMerge/>
            <w:tcBorders>
              <w:top w:val="single" w:sz="8" w:space="0" w:color="000000"/>
              <w:left w:val="nil"/>
              <w:bottom w:val="single" w:sz="8" w:space="0" w:color="000000"/>
              <w:right w:val="nil"/>
            </w:tcBorders>
            <w:vAlign w:val="center"/>
            <w:hideMark/>
          </w:tcPr>
          <w:p w:rsidR="003C6026" w:rsidRPr="005C72F3" w:rsidRDefault="003C6026" w:rsidP="003C6026">
            <w:pPr>
              <w:rPr>
                <w:rFonts w:cs="Arial"/>
                <w:b/>
                <w:bCs/>
                <w:color w:val="FFFFFF"/>
                <w:sz w:val="18"/>
                <w:szCs w:val="18"/>
                <w:lang w:eastAsia="en-GB"/>
              </w:rPr>
            </w:pPr>
          </w:p>
        </w:tc>
        <w:tc>
          <w:tcPr>
            <w:tcW w:w="1559" w:type="dxa"/>
            <w:vMerge/>
            <w:tcBorders>
              <w:top w:val="single" w:sz="8" w:space="0" w:color="000000"/>
              <w:left w:val="nil"/>
              <w:bottom w:val="single" w:sz="8" w:space="0" w:color="000000"/>
              <w:right w:val="nil"/>
            </w:tcBorders>
            <w:vAlign w:val="center"/>
            <w:hideMark/>
          </w:tcPr>
          <w:p w:rsidR="003C6026" w:rsidRPr="005C72F3" w:rsidRDefault="003C6026" w:rsidP="003C6026">
            <w:pPr>
              <w:rPr>
                <w:rFonts w:cs="Arial"/>
                <w:b/>
                <w:bCs/>
                <w:color w:val="FFFFFF"/>
                <w:sz w:val="18"/>
                <w:szCs w:val="18"/>
                <w:lang w:eastAsia="en-GB"/>
              </w:rPr>
            </w:pPr>
          </w:p>
        </w:tc>
        <w:tc>
          <w:tcPr>
            <w:tcW w:w="1843" w:type="dxa"/>
            <w:vMerge/>
            <w:tcBorders>
              <w:top w:val="single" w:sz="8" w:space="0" w:color="000000"/>
              <w:left w:val="nil"/>
              <w:bottom w:val="single" w:sz="8" w:space="0" w:color="000000"/>
              <w:right w:val="single" w:sz="8" w:space="0" w:color="000000"/>
            </w:tcBorders>
            <w:vAlign w:val="center"/>
            <w:hideMark/>
          </w:tcPr>
          <w:p w:rsidR="003C6026" w:rsidRPr="005C72F3" w:rsidRDefault="003C6026" w:rsidP="003C6026">
            <w:pPr>
              <w:rPr>
                <w:rFonts w:cs="Arial"/>
                <w:b/>
                <w:bCs/>
                <w:color w:val="FFFFFF"/>
                <w:sz w:val="18"/>
                <w:szCs w:val="18"/>
                <w:lang w:eastAsia="en-GB"/>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3C6026" w:rsidRPr="005C72F3" w:rsidRDefault="003C6026" w:rsidP="003C6026">
            <w:pPr>
              <w:rPr>
                <w:rFonts w:cs="Arial"/>
                <w:b/>
                <w:bCs/>
                <w:color w:val="FFFFFF"/>
                <w:sz w:val="18"/>
                <w:szCs w:val="18"/>
                <w:lang w:eastAsia="en-GB"/>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C6026" w:rsidRPr="005C72F3" w:rsidRDefault="003C6026" w:rsidP="003C6026">
            <w:pPr>
              <w:rPr>
                <w:rFonts w:cs="Arial"/>
                <w:b/>
                <w:bCs/>
                <w:color w:val="FFFFFF"/>
                <w:sz w:val="18"/>
                <w:szCs w:val="18"/>
                <w:lang w:eastAsia="en-GB"/>
              </w:rPr>
            </w:pPr>
          </w:p>
        </w:tc>
        <w:tc>
          <w:tcPr>
            <w:tcW w:w="417" w:type="dxa"/>
            <w:tcBorders>
              <w:top w:val="nil"/>
              <w:left w:val="nil"/>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I</w:t>
            </w:r>
          </w:p>
        </w:tc>
        <w:tc>
          <w:tcPr>
            <w:tcW w:w="437" w:type="dxa"/>
            <w:tcBorders>
              <w:top w:val="nil"/>
              <w:left w:val="single" w:sz="8" w:space="0" w:color="000000"/>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P</w:t>
            </w:r>
          </w:p>
        </w:tc>
        <w:tc>
          <w:tcPr>
            <w:tcW w:w="417" w:type="dxa"/>
            <w:tcBorders>
              <w:top w:val="nil"/>
              <w:left w:val="single" w:sz="8" w:space="0" w:color="000000"/>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I</w:t>
            </w:r>
          </w:p>
        </w:tc>
        <w:tc>
          <w:tcPr>
            <w:tcW w:w="550" w:type="dxa"/>
            <w:tcBorders>
              <w:top w:val="nil"/>
              <w:left w:val="single" w:sz="8" w:space="0" w:color="000000"/>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P</w:t>
            </w:r>
          </w:p>
        </w:tc>
        <w:tc>
          <w:tcPr>
            <w:tcW w:w="417" w:type="dxa"/>
            <w:tcBorders>
              <w:top w:val="nil"/>
              <w:left w:val="single" w:sz="8" w:space="0" w:color="000000"/>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I</w:t>
            </w:r>
          </w:p>
        </w:tc>
        <w:tc>
          <w:tcPr>
            <w:tcW w:w="650" w:type="dxa"/>
            <w:tcBorders>
              <w:top w:val="nil"/>
              <w:left w:val="single" w:sz="8" w:space="0" w:color="000000"/>
              <w:bottom w:val="single" w:sz="8" w:space="0" w:color="000000"/>
              <w:right w:val="nil"/>
            </w:tcBorders>
            <w:shd w:val="clear" w:color="000000" w:fill="000080"/>
            <w:vAlign w:val="center"/>
            <w:hideMark/>
          </w:tcPr>
          <w:p w:rsidR="003C6026" w:rsidRPr="005C72F3" w:rsidRDefault="003C6026" w:rsidP="003C6026">
            <w:pPr>
              <w:jc w:val="center"/>
              <w:rPr>
                <w:rFonts w:cs="Arial"/>
                <w:b/>
                <w:bCs/>
                <w:color w:val="FFFFFF"/>
                <w:sz w:val="18"/>
                <w:szCs w:val="18"/>
                <w:lang w:eastAsia="en-GB"/>
              </w:rPr>
            </w:pPr>
            <w:r w:rsidRPr="005C72F3">
              <w:rPr>
                <w:rFonts w:cs="Arial"/>
                <w:b/>
                <w:bCs/>
                <w:color w:val="FFFFFF"/>
                <w:sz w:val="18"/>
                <w:szCs w:val="18"/>
                <w:lang w:eastAsia="en-GB"/>
              </w:rPr>
              <w:t>P</w:t>
            </w:r>
          </w:p>
        </w:tc>
        <w:tc>
          <w:tcPr>
            <w:tcW w:w="2360" w:type="dxa"/>
            <w:vMerge/>
            <w:tcBorders>
              <w:top w:val="single" w:sz="8" w:space="0" w:color="auto"/>
              <w:left w:val="single" w:sz="8" w:space="0" w:color="auto"/>
              <w:bottom w:val="single" w:sz="8" w:space="0" w:color="000000"/>
              <w:right w:val="single" w:sz="8" w:space="0" w:color="auto"/>
            </w:tcBorders>
            <w:vAlign w:val="center"/>
            <w:hideMark/>
          </w:tcPr>
          <w:p w:rsidR="003C6026" w:rsidRPr="005C72F3" w:rsidRDefault="003C6026" w:rsidP="003C6026">
            <w:pPr>
              <w:rPr>
                <w:rFonts w:cs="Arial"/>
                <w:b/>
                <w:bCs/>
                <w:color w:val="FFFFFF"/>
                <w:sz w:val="18"/>
                <w:szCs w:val="18"/>
                <w:lang w:eastAsia="en-GB"/>
              </w:rPr>
            </w:pPr>
          </w:p>
        </w:tc>
      </w:tr>
      <w:tr w:rsidR="003C6026" w:rsidRPr="005C72F3" w:rsidTr="003C6026">
        <w:trPr>
          <w:trHeight w:val="3278"/>
        </w:trPr>
        <w:tc>
          <w:tcPr>
            <w:tcW w:w="1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Satisfaction</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Dissatisfaction with new concession eligibility</w:t>
            </w:r>
            <w:r>
              <w:rPr>
                <w:rFonts w:cs="Arial"/>
                <w:color w:val="000000"/>
                <w:sz w:val="18"/>
                <w:szCs w:val="18"/>
                <w:lang w:eastAsia="en-GB"/>
              </w:rPr>
              <w:t>.</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Threat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Concessionary users no longer eligible to the offer feel aggrieved by loss of entitlement.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Stakeholder dissatisfaction, loss of income, reputation damage, loss of future opportunity</w:t>
            </w:r>
            <w:r>
              <w:rPr>
                <w:rFonts w:cs="Arial"/>
                <w:color w:val="000000"/>
                <w:sz w:val="18"/>
                <w:szCs w:val="18"/>
                <w:lang w:eastAsia="en-GB"/>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17/05/19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Head of Service</w:t>
            </w:r>
          </w:p>
        </w:tc>
        <w:tc>
          <w:tcPr>
            <w:tcW w:w="417"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1</w:t>
            </w:r>
          </w:p>
        </w:tc>
        <w:tc>
          <w:tcPr>
            <w:tcW w:w="437"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3</w:t>
            </w:r>
          </w:p>
        </w:tc>
        <w:tc>
          <w:tcPr>
            <w:tcW w:w="417" w:type="dxa"/>
            <w:tcBorders>
              <w:top w:val="single" w:sz="4" w:space="0" w:color="auto"/>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1</w:t>
            </w:r>
          </w:p>
        </w:tc>
        <w:tc>
          <w:tcPr>
            <w:tcW w:w="550" w:type="dxa"/>
            <w:tcBorders>
              <w:top w:val="single" w:sz="4" w:space="0" w:color="auto"/>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3</w:t>
            </w:r>
          </w:p>
        </w:tc>
        <w:tc>
          <w:tcPr>
            <w:tcW w:w="417"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3</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An impact data exercise indicated that a minority of concessionary users will be affected; increase promotion for signposting to free or low cost alternatives e.g. GO Active, Green Gyms, Cultural offer, other discounted leisure memberships, free swimming sessions for those under 17 years of age and living in the city and gym only membership offer at RHCC.</w:t>
            </w:r>
          </w:p>
        </w:tc>
      </w:tr>
      <w:tr w:rsidR="003C6026" w:rsidRPr="005C72F3" w:rsidTr="003C6026">
        <w:trPr>
          <w:trHeight w:val="1946"/>
        </w:trPr>
        <w:tc>
          <w:tcPr>
            <w:tcW w:w="1847" w:type="dxa"/>
            <w:tcBorders>
              <w:top w:val="nil"/>
              <w:left w:val="single" w:sz="4" w:space="0" w:color="auto"/>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Corporate priorities</w:t>
            </w:r>
          </w:p>
        </w:tc>
        <w:tc>
          <w:tcPr>
            <w:tcW w:w="220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Priorities may change each year and may result in the concessionary offer no longer reflecting needs and demands</w:t>
            </w:r>
          </w:p>
        </w:tc>
        <w:tc>
          <w:tcPr>
            <w:tcW w:w="77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Threat</w:t>
            </w:r>
          </w:p>
        </w:tc>
        <w:tc>
          <w:tcPr>
            <w:tcW w:w="1559"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Change in governance and political direction</w:t>
            </w:r>
          </w:p>
        </w:tc>
        <w:tc>
          <w:tcPr>
            <w:tcW w:w="184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Unaligned goals</w:t>
            </w:r>
          </w:p>
        </w:tc>
        <w:tc>
          <w:tcPr>
            <w:tcW w:w="1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17/05/19</w:t>
            </w:r>
          </w:p>
        </w:tc>
        <w:tc>
          <w:tcPr>
            <w:tcW w:w="851"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Head of Service</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2</w:t>
            </w:r>
          </w:p>
        </w:tc>
        <w:tc>
          <w:tcPr>
            <w:tcW w:w="43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2</w:t>
            </w:r>
          </w:p>
        </w:tc>
        <w:tc>
          <w:tcPr>
            <w:tcW w:w="417"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2</w:t>
            </w:r>
          </w:p>
        </w:tc>
        <w:tc>
          <w:tcPr>
            <w:tcW w:w="550"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2</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2</w:t>
            </w:r>
          </w:p>
        </w:tc>
        <w:tc>
          <w:tcPr>
            <w:tcW w:w="65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1</w:t>
            </w:r>
          </w:p>
        </w:tc>
        <w:tc>
          <w:tcPr>
            <w:tcW w:w="236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 xml:space="preserve">Review the concessionary offer and priorities annually in partnership with </w:t>
            </w:r>
            <w:proofErr w:type="gramStart"/>
            <w:r>
              <w:rPr>
                <w:rFonts w:cs="Arial"/>
                <w:color w:val="000000"/>
                <w:sz w:val="18"/>
                <w:szCs w:val="18"/>
                <w:lang w:eastAsia="en-GB"/>
              </w:rPr>
              <w:t xml:space="preserve">the </w:t>
            </w:r>
            <w:r w:rsidRPr="005C72F3">
              <w:rPr>
                <w:rFonts w:cs="Arial"/>
                <w:color w:val="000000"/>
                <w:sz w:val="18"/>
                <w:szCs w:val="18"/>
                <w:lang w:eastAsia="en-GB"/>
              </w:rPr>
              <w:t xml:space="preserve"> leisure</w:t>
            </w:r>
            <w:proofErr w:type="gramEnd"/>
            <w:r w:rsidRPr="005C72F3">
              <w:rPr>
                <w:rFonts w:cs="Arial"/>
                <w:color w:val="000000"/>
                <w:sz w:val="18"/>
                <w:szCs w:val="18"/>
                <w:lang w:eastAsia="en-GB"/>
              </w:rPr>
              <w:t xml:space="preserve"> provider and the Leisure Partnership Board, and align where possible. Complete annual benchmarking.</w:t>
            </w:r>
          </w:p>
        </w:tc>
      </w:tr>
      <w:tr w:rsidR="003C6026" w:rsidRPr="005C72F3" w:rsidTr="003C6026">
        <w:trPr>
          <w:trHeight w:val="1110"/>
        </w:trPr>
        <w:tc>
          <w:tcPr>
            <w:tcW w:w="1847" w:type="dxa"/>
            <w:tcBorders>
              <w:top w:val="nil"/>
              <w:left w:val="single" w:sz="4" w:space="0" w:color="auto"/>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noProof/>
                <w:color w:val="000000"/>
                <w:sz w:val="18"/>
                <w:szCs w:val="18"/>
                <w:lang w:eastAsia="en-GB"/>
              </w:rPr>
              <w:drawing>
                <wp:anchor distT="0" distB="0" distL="114300" distR="114300" simplePos="0" relativeHeight="251659264" behindDoc="0" locked="0" layoutInCell="1" allowOverlap="1" wp14:anchorId="523CED3F" wp14:editId="066659C4">
                  <wp:simplePos x="0" y="0"/>
                  <wp:positionH relativeFrom="column">
                    <wp:posOffset>0</wp:posOffset>
                  </wp:positionH>
                  <wp:positionV relativeFrom="paragraph">
                    <wp:posOffset>0</wp:posOffset>
                  </wp:positionV>
                  <wp:extent cx="190500" cy="133350"/>
                  <wp:effectExtent l="0" t="0" r="0" b="0"/>
                  <wp:wrapNone/>
                  <wp:docPr id="5" name="Picture 5" hidden="1"/>
                  <wp:cNvGraphicFramePr/>
                  <a:graphic xmlns:a="http://schemas.openxmlformats.org/drawingml/2006/main">
                    <a:graphicData uri="http://schemas.openxmlformats.org/drawingml/2006/picture">
                      <pic:pic xmlns:pic="http://schemas.openxmlformats.org/drawingml/2006/picture">
                        <pic:nvPicPr>
                          <pic:cNvPr id="1051" name="Picture 1" hidden="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C72F3">
              <w:rPr>
                <w:rFonts w:cs="Arial"/>
                <w:noProof/>
                <w:color w:val="000000"/>
                <w:sz w:val="18"/>
                <w:szCs w:val="18"/>
                <w:lang w:eastAsia="en-GB"/>
              </w:rPr>
              <w:drawing>
                <wp:anchor distT="0" distB="0" distL="114300" distR="114300" simplePos="0" relativeHeight="251660288" behindDoc="0" locked="0" layoutInCell="1" allowOverlap="1" wp14:anchorId="1F8E5972" wp14:editId="330A2875">
                  <wp:simplePos x="0" y="0"/>
                  <wp:positionH relativeFrom="column">
                    <wp:posOffset>0</wp:posOffset>
                  </wp:positionH>
                  <wp:positionV relativeFrom="paragraph">
                    <wp:posOffset>0</wp:posOffset>
                  </wp:positionV>
                  <wp:extent cx="190500" cy="13335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1052" name="Picture 2" hidden="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C72F3">
              <w:rPr>
                <w:rFonts w:cs="Arial"/>
                <w:color w:val="000000"/>
                <w:sz w:val="18"/>
                <w:szCs w:val="18"/>
                <w:lang w:eastAsia="en-GB"/>
              </w:rPr>
              <w:t>Financial</w:t>
            </w:r>
          </w:p>
        </w:tc>
        <w:tc>
          <w:tcPr>
            <w:tcW w:w="220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Financial cost of concessions</w:t>
            </w:r>
          </w:p>
        </w:tc>
        <w:tc>
          <w:tcPr>
            <w:tcW w:w="77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Threat</w:t>
            </w:r>
          </w:p>
        </w:tc>
        <w:tc>
          <w:tcPr>
            <w:tcW w:w="1559"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Unprecedented increase in concession uptake</w:t>
            </w:r>
          </w:p>
        </w:tc>
        <w:tc>
          <w:tcPr>
            <w:tcW w:w="184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Costs incurred</w:t>
            </w:r>
          </w:p>
        </w:tc>
        <w:tc>
          <w:tcPr>
            <w:tcW w:w="1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17/05/19</w:t>
            </w:r>
          </w:p>
        </w:tc>
        <w:tc>
          <w:tcPr>
            <w:tcW w:w="851"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Head of Service</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3</w:t>
            </w:r>
          </w:p>
        </w:tc>
        <w:tc>
          <w:tcPr>
            <w:tcW w:w="43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3</w:t>
            </w:r>
          </w:p>
        </w:tc>
        <w:tc>
          <w:tcPr>
            <w:tcW w:w="417"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2</w:t>
            </w:r>
          </w:p>
        </w:tc>
        <w:tc>
          <w:tcPr>
            <w:tcW w:w="550"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2</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2</w:t>
            </w:r>
          </w:p>
        </w:tc>
        <w:tc>
          <w:tcPr>
            <w:tcW w:w="65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1</w:t>
            </w:r>
          </w:p>
        </w:tc>
        <w:tc>
          <w:tcPr>
            <w:tcW w:w="236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Concessions are built into the contract and absorbed by Fusion; any significant changes would need to be negotiated</w:t>
            </w:r>
          </w:p>
        </w:tc>
      </w:tr>
      <w:tr w:rsidR="003C6026" w:rsidRPr="005C72F3" w:rsidTr="003C6026">
        <w:trPr>
          <w:trHeight w:val="1424"/>
        </w:trPr>
        <w:tc>
          <w:tcPr>
            <w:tcW w:w="1847" w:type="dxa"/>
            <w:tcBorders>
              <w:top w:val="nil"/>
              <w:left w:val="single" w:sz="4" w:space="0" w:color="auto"/>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Reputation</w:t>
            </w:r>
          </w:p>
        </w:tc>
        <w:tc>
          <w:tcPr>
            <w:tcW w:w="220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Risk to reputation</w:t>
            </w:r>
          </w:p>
        </w:tc>
        <w:tc>
          <w:tcPr>
            <w:tcW w:w="77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Threat</w:t>
            </w:r>
          </w:p>
        </w:tc>
        <w:tc>
          <w:tcPr>
            <w:tcW w:w="1559"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Failure to manage repercussions following any negative attention</w:t>
            </w:r>
          </w:p>
        </w:tc>
        <w:tc>
          <w:tcPr>
            <w:tcW w:w="1843"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Damage to OCC's reputation</w:t>
            </w:r>
          </w:p>
        </w:tc>
        <w:tc>
          <w:tcPr>
            <w:tcW w:w="1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17/05/19</w:t>
            </w:r>
          </w:p>
        </w:tc>
        <w:tc>
          <w:tcPr>
            <w:tcW w:w="851"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Head of Service</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2</w:t>
            </w:r>
          </w:p>
        </w:tc>
        <w:tc>
          <w:tcPr>
            <w:tcW w:w="43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color w:val="000000"/>
                <w:sz w:val="18"/>
                <w:szCs w:val="18"/>
                <w:lang w:eastAsia="en-GB"/>
              </w:rPr>
            </w:pPr>
            <w:r w:rsidRPr="005C72F3">
              <w:rPr>
                <w:rFonts w:cs="Arial"/>
                <w:color w:val="000000"/>
                <w:sz w:val="18"/>
                <w:szCs w:val="18"/>
                <w:lang w:eastAsia="en-GB"/>
              </w:rPr>
              <w:t>3</w:t>
            </w:r>
          </w:p>
        </w:tc>
        <w:tc>
          <w:tcPr>
            <w:tcW w:w="417"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1</w:t>
            </w:r>
          </w:p>
        </w:tc>
        <w:tc>
          <w:tcPr>
            <w:tcW w:w="550" w:type="dxa"/>
            <w:tcBorders>
              <w:top w:val="nil"/>
              <w:left w:val="nil"/>
              <w:bottom w:val="single" w:sz="4" w:space="0" w:color="auto"/>
              <w:right w:val="single" w:sz="4" w:space="0" w:color="auto"/>
            </w:tcBorders>
            <w:shd w:val="clear" w:color="000000" w:fill="00B050"/>
            <w:vAlign w:val="center"/>
            <w:hideMark/>
          </w:tcPr>
          <w:p w:rsidR="003C6026" w:rsidRPr="005C72F3" w:rsidRDefault="003C6026" w:rsidP="003C6026">
            <w:pPr>
              <w:jc w:val="center"/>
              <w:rPr>
                <w:rFonts w:cs="Arial"/>
                <w:b/>
                <w:bCs/>
                <w:color w:val="000000"/>
                <w:sz w:val="18"/>
                <w:szCs w:val="18"/>
                <w:lang w:eastAsia="en-GB"/>
              </w:rPr>
            </w:pPr>
            <w:r w:rsidRPr="005C72F3">
              <w:rPr>
                <w:rFonts w:cs="Arial"/>
                <w:b/>
                <w:bCs/>
                <w:color w:val="000000"/>
                <w:sz w:val="18"/>
                <w:szCs w:val="18"/>
                <w:lang w:eastAsia="en-GB"/>
              </w:rPr>
              <w:t>2</w:t>
            </w:r>
          </w:p>
        </w:tc>
        <w:tc>
          <w:tcPr>
            <w:tcW w:w="417"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1</w:t>
            </w:r>
          </w:p>
        </w:tc>
        <w:tc>
          <w:tcPr>
            <w:tcW w:w="65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jc w:val="center"/>
              <w:rPr>
                <w:rFonts w:cs="Arial"/>
                <w:sz w:val="18"/>
                <w:szCs w:val="18"/>
                <w:lang w:eastAsia="en-GB"/>
              </w:rPr>
            </w:pPr>
            <w:r w:rsidRPr="005C72F3">
              <w:rPr>
                <w:rFonts w:cs="Arial"/>
                <w:sz w:val="18"/>
                <w:szCs w:val="18"/>
                <w:lang w:eastAsia="en-GB"/>
              </w:rPr>
              <w:t>2</w:t>
            </w:r>
          </w:p>
        </w:tc>
        <w:tc>
          <w:tcPr>
            <w:tcW w:w="2360" w:type="dxa"/>
            <w:tcBorders>
              <w:top w:val="nil"/>
              <w:left w:val="nil"/>
              <w:bottom w:val="single" w:sz="4" w:space="0" w:color="auto"/>
              <w:right w:val="single" w:sz="4" w:space="0" w:color="auto"/>
            </w:tcBorders>
            <w:shd w:val="clear" w:color="000000" w:fill="FFFFFF"/>
            <w:vAlign w:val="center"/>
            <w:hideMark/>
          </w:tcPr>
          <w:p w:rsidR="003C6026" w:rsidRPr="005C72F3" w:rsidRDefault="003C6026" w:rsidP="003C6026">
            <w:pPr>
              <w:rPr>
                <w:rFonts w:cs="Arial"/>
                <w:color w:val="000000"/>
                <w:sz w:val="18"/>
                <w:szCs w:val="18"/>
                <w:lang w:eastAsia="en-GB"/>
              </w:rPr>
            </w:pPr>
            <w:r w:rsidRPr="005C72F3">
              <w:rPr>
                <w:rFonts w:cs="Arial"/>
                <w:color w:val="000000"/>
                <w:sz w:val="18"/>
                <w:szCs w:val="18"/>
                <w:lang w:eastAsia="en-GB"/>
              </w:rPr>
              <w:t xml:space="preserve">Staff and members will be briefed to explain the changes; any press attention will be dealt with via the Corporate </w:t>
            </w:r>
            <w:proofErr w:type="spellStart"/>
            <w:r w:rsidRPr="005C72F3">
              <w:rPr>
                <w:rFonts w:cs="Arial"/>
                <w:color w:val="000000"/>
                <w:sz w:val="18"/>
                <w:szCs w:val="18"/>
                <w:lang w:eastAsia="en-GB"/>
              </w:rPr>
              <w:t>Comms</w:t>
            </w:r>
            <w:proofErr w:type="spellEnd"/>
            <w:r w:rsidRPr="005C72F3">
              <w:rPr>
                <w:rFonts w:cs="Arial"/>
                <w:color w:val="000000"/>
                <w:sz w:val="18"/>
                <w:szCs w:val="18"/>
                <w:lang w:eastAsia="en-GB"/>
              </w:rPr>
              <w:t xml:space="preserve"> Team</w:t>
            </w:r>
          </w:p>
        </w:tc>
      </w:tr>
    </w:tbl>
    <w:p w:rsidR="008A22C6" w:rsidRPr="008A22C6" w:rsidRDefault="008A22C6" w:rsidP="008A22C6">
      <w:bookmarkStart w:id="0" w:name="_GoBack"/>
      <w:bookmarkEnd w:id="0"/>
    </w:p>
    <w:sectPr w:rsidR="008A22C6" w:rsidRPr="008A22C6" w:rsidSect="003C602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26" w:rsidRDefault="003C6026" w:rsidP="003C6026">
      <w:r>
        <w:separator/>
      </w:r>
    </w:p>
  </w:endnote>
  <w:endnote w:type="continuationSeparator" w:id="0">
    <w:p w:rsidR="003C6026" w:rsidRDefault="003C6026" w:rsidP="003C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Default="003C6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Pr="00550358" w:rsidRDefault="003C6026" w:rsidP="00550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Default="003C6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26" w:rsidRDefault="003C6026" w:rsidP="003C6026">
      <w:r>
        <w:separator/>
      </w:r>
    </w:p>
  </w:footnote>
  <w:footnote w:type="continuationSeparator" w:id="0">
    <w:p w:rsidR="003C6026" w:rsidRDefault="003C6026" w:rsidP="003C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Default="003C6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Pr="003C6026" w:rsidRDefault="003C6026">
    <w:pPr>
      <w:pStyle w:val="Head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C6026">
      <w:rPr>
        <w:sz w:val="28"/>
        <w:szCs w:val="28"/>
      </w:rPr>
      <w:t>Appendix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26" w:rsidRDefault="003C6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6"/>
    <w:rsid w:val="000B4310"/>
    <w:rsid w:val="003C6026"/>
    <w:rsid w:val="004000D7"/>
    <w:rsid w:val="00441416"/>
    <w:rsid w:val="00504E43"/>
    <w:rsid w:val="00550358"/>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26"/>
    <w:pPr>
      <w:tabs>
        <w:tab w:val="center" w:pos="4513"/>
        <w:tab w:val="right" w:pos="9026"/>
      </w:tabs>
    </w:pPr>
  </w:style>
  <w:style w:type="character" w:customStyle="1" w:styleId="HeaderChar">
    <w:name w:val="Header Char"/>
    <w:basedOn w:val="DefaultParagraphFont"/>
    <w:link w:val="Header"/>
    <w:uiPriority w:val="99"/>
    <w:rsid w:val="003C6026"/>
    <w:rPr>
      <w:rFonts w:eastAsia="Times New Roman" w:cs="Times New Roman"/>
    </w:rPr>
  </w:style>
  <w:style w:type="paragraph" w:styleId="Footer">
    <w:name w:val="footer"/>
    <w:basedOn w:val="Normal"/>
    <w:link w:val="FooterChar"/>
    <w:uiPriority w:val="99"/>
    <w:unhideWhenUsed/>
    <w:rsid w:val="003C6026"/>
    <w:pPr>
      <w:tabs>
        <w:tab w:val="center" w:pos="4513"/>
        <w:tab w:val="right" w:pos="9026"/>
      </w:tabs>
    </w:pPr>
  </w:style>
  <w:style w:type="character" w:customStyle="1" w:styleId="FooterChar">
    <w:name w:val="Footer Char"/>
    <w:basedOn w:val="DefaultParagraphFont"/>
    <w:link w:val="Footer"/>
    <w:uiPriority w:val="99"/>
    <w:rsid w:val="003C6026"/>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2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26"/>
    <w:pPr>
      <w:tabs>
        <w:tab w:val="center" w:pos="4513"/>
        <w:tab w:val="right" w:pos="9026"/>
      </w:tabs>
    </w:pPr>
  </w:style>
  <w:style w:type="character" w:customStyle="1" w:styleId="HeaderChar">
    <w:name w:val="Header Char"/>
    <w:basedOn w:val="DefaultParagraphFont"/>
    <w:link w:val="Header"/>
    <w:uiPriority w:val="99"/>
    <w:rsid w:val="003C6026"/>
    <w:rPr>
      <w:rFonts w:eastAsia="Times New Roman" w:cs="Times New Roman"/>
    </w:rPr>
  </w:style>
  <w:style w:type="paragraph" w:styleId="Footer">
    <w:name w:val="footer"/>
    <w:basedOn w:val="Normal"/>
    <w:link w:val="FooterChar"/>
    <w:uiPriority w:val="99"/>
    <w:unhideWhenUsed/>
    <w:rsid w:val="003C6026"/>
    <w:pPr>
      <w:tabs>
        <w:tab w:val="center" w:pos="4513"/>
        <w:tab w:val="right" w:pos="9026"/>
      </w:tabs>
    </w:pPr>
  </w:style>
  <w:style w:type="character" w:customStyle="1" w:styleId="FooterChar">
    <w:name w:val="Footer Char"/>
    <w:basedOn w:val="DefaultParagraphFont"/>
    <w:link w:val="Footer"/>
    <w:uiPriority w:val="99"/>
    <w:rsid w:val="003C60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067C-EEFB-4075-88BB-6E5A6C21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B74DA90E</Template>
  <TotalTime>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3</cp:revision>
  <dcterms:created xsi:type="dcterms:W3CDTF">2019-08-09T10:52:00Z</dcterms:created>
  <dcterms:modified xsi:type="dcterms:W3CDTF">2019-08-09T10:56:00Z</dcterms:modified>
</cp:coreProperties>
</file>